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8" w:rsidRDefault="00364438" w:rsidP="00062BDD">
      <w:pPr>
        <w:ind w:right="-604"/>
        <w:rPr>
          <w:sz w:val="28"/>
          <w:szCs w:val="28"/>
          <w:lang w:eastAsia="ar-SA"/>
        </w:rPr>
      </w:pPr>
    </w:p>
    <w:p w:rsidR="00062BDD" w:rsidRPr="00062BDD" w:rsidRDefault="00062BDD" w:rsidP="00062BDD">
      <w:pPr>
        <w:ind w:right="-604"/>
        <w:rPr>
          <w:rFonts w:ascii="Courier New" w:hAnsi="Courier New"/>
          <w:b/>
          <w:bCs/>
          <w:color w:val="000000"/>
          <w:sz w:val="28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jc w:val="center"/>
        <w:rPr>
          <w:sz w:val="28"/>
          <w:szCs w:val="28"/>
        </w:rPr>
      </w:pPr>
      <w:r w:rsidRPr="00062BDD">
        <w:rPr>
          <w:b/>
          <w:sz w:val="28"/>
          <w:szCs w:val="28"/>
        </w:rPr>
        <w:t>АДМИНИСТРАЦИЯ</w:t>
      </w: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КАЛИНИНСКОГО СЕЛЬСКОГО ПОСЕЛЕНИЯ</w:t>
      </w:r>
    </w:p>
    <w:p w:rsidR="00062BDD" w:rsidRPr="00062BDD" w:rsidRDefault="00062BDD" w:rsidP="00062BDD">
      <w:pPr>
        <w:ind w:right="-6"/>
        <w:jc w:val="center"/>
        <w:rPr>
          <w:b/>
          <w:bCs/>
          <w:color w:val="000000"/>
          <w:sz w:val="28"/>
          <w:szCs w:val="28"/>
        </w:rPr>
      </w:pPr>
      <w:r w:rsidRPr="00062BD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62BDD" w:rsidRPr="00062BDD" w:rsidRDefault="00062BDD" w:rsidP="00062BDD">
      <w:pPr>
        <w:jc w:val="center"/>
        <w:rPr>
          <w:sz w:val="28"/>
          <w:szCs w:val="28"/>
        </w:rPr>
      </w:pP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ПОСТАНОВЛЕНИЕ</w:t>
      </w:r>
    </w:p>
    <w:p w:rsidR="00062BDD" w:rsidRPr="00062BDD" w:rsidRDefault="00062BDD" w:rsidP="00062BDD">
      <w:pPr>
        <w:widowControl w:val="0"/>
        <w:jc w:val="center"/>
        <w:rPr>
          <w:sz w:val="28"/>
          <w:szCs w:val="28"/>
        </w:rPr>
      </w:pPr>
    </w:p>
    <w:p w:rsidR="00062BDD" w:rsidRPr="00062BDD" w:rsidRDefault="00364438" w:rsidP="00062BDD">
      <w:pPr>
        <w:rPr>
          <w:sz w:val="28"/>
          <w:szCs w:val="28"/>
        </w:rPr>
      </w:pPr>
      <w:r>
        <w:rPr>
          <w:sz w:val="28"/>
          <w:szCs w:val="28"/>
        </w:rPr>
        <w:t>02.12</w:t>
      </w:r>
      <w:r w:rsidR="00062BDD" w:rsidRPr="00062BDD">
        <w:rPr>
          <w:sz w:val="28"/>
          <w:szCs w:val="28"/>
        </w:rPr>
        <w:t>.2024                                        №</w:t>
      </w:r>
      <w:r>
        <w:rPr>
          <w:sz w:val="28"/>
          <w:szCs w:val="28"/>
        </w:rPr>
        <w:t xml:space="preserve"> 132</w:t>
      </w:r>
      <w:r w:rsidR="00062BDD" w:rsidRPr="00062BDD">
        <w:rPr>
          <w:sz w:val="28"/>
          <w:szCs w:val="28"/>
        </w:rPr>
        <w:t xml:space="preserve">                                         ст. Калининская</w:t>
      </w:r>
    </w:p>
    <w:p w:rsidR="00062BDD" w:rsidRPr="00062BDD" w:rsidRDefault="00062BDD" w:rsidP="00062B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236"/>
      </w:tblGrid>
      <w:tr w:rsidR="007C6A64" w:rsidRPr="00014E27" w:rsidTr="00062BDD">
        <w:tc>
          <w:tcPr>
            <w:tcW w:w="5587" w:type="dxa"/>
          </w:tcPr>
          <w:p w:rsidR="00062BDD" w:rsidRPr="00014E27" w:rsidRDefault="006878DE" w:rsidP="00062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062BDD" w:rsidRPr="00062BDD">
              <w:rPr>
                <w:kern w:val="2"/>
                <w:sz w:val="28"/>
                <w:szCs w:val="28"/>
              </w:rPr>
              <w:t>Администрации Калининского сельского поселения от</w:t>
            </w:r>
            <w:r w:rsidR="00062BD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25.01.2019г. № 7</w:t>
            </w:r>
            <w:r>
              <w:rPr>
                <w:sz w:val="28"/>
                <w:szCs w:val="28"/>
              </w:rPr>
              <w:t xml:space="preserve">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«Развитие культуры и туризма»</w:t>
            </w:r>
          </w:p>
        </w:tc>
        <w:tc>
          <w:tcPr>
            <w:tcW w:w="236" w:type="dxa"/>
          </w:tcPr>
          <w:p w:rsidR="007C6A64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BDD" w:rsidRPr="00014E27" w:rsidRDefault="00062BDD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BDD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2BDD" w:rsidRDefault="00062BDD" w:rsidP="00062BDD">
      <w:pPr>
        <w:ind w:firstLine="709"/>
        <w:jc w:val="both"/>
        <w:rPr>
          <w:color w:val="000000"/>
          <w:sz w:val="28"/>
          <w:szCs w:val="28"/>
        </w:rPr>
      </w:pPr>
      <w:r w:rsidRPr="00062BDD">
        <w:rPr>
          <w:color w:val="000000"/>
          <w:sz w:val="28"/>
          <w:szCs w:val="28"/>
        </w:rPr>
        <w:t>В соответствии с постановлением Администрации Калининского сельского поселения от 18.09.2024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062BDD" w:rsidRPr="00062BDD" w:rsidRDefault="00062BDD" w:rsidP="00062BDD">
      <w:pPr>
        <w:ind w:firstLine="709"/>
        <w:jc w:val="both"/>
        <w:rPr>
          <w:color w:val="000000"/>
          <w:sz w:val="28"/>
          <w:szCs w:val="28"/>
        </w:rPr>
      </w:pP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62BDD" w:rsidRPr="00062BDD">
        <w:rPr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="00062BDD">
        <w:rPr>
          <w:color w:val="000000"/>
          <w:sz w:val="28"/>
          <w:szCs w:val="28"/>
        </w:rPr>
        <w:t>25.01.20219г</w:t>
      </w:r>
      <w:r w:rsidR="00062BDD" w:rsidRPr="00062BDD">
        <w:rPr>
          <w:color w:val="000000"/>
          <w:sz w:val="28"/>
          <w:szCs w:val="28"/>
        </w:rPr>
        <w:t xml:space="preserve">. № </w:t>
      </w:r>
      <w:r w:rsidR="00062BDD">
        <w:rPr>
          <w:color w:val="000000"/>
          <w:sz w:val="28"/>
          <w:szCs w:val="28"/>
        </w:rPr>
        <w:t>7</w:t>
      </w:r>
      <w:r w:rsidRPr="005F37F3">
        <w:rPr>
          <w:sz w:val="28"/>
          <w:szCs w:val="28"/>
        </w:rPr>
        <w:t xml:space="preserve"> «Об утверждении муниципальной программы </w:t>
      </w:r>
      <w:r w:rsidR="00062BDD">
        <w:rPr>
          <w:sz w:val="28"/>
          <w:szCs w:val="28"/>
        </w:rPr>
        <w:t>Калининского</w:t>
      </w:r>
      <w:r w:rsidRPr="005F37F3">
        <w:rPr>
          <w:sz w:val="28"/>
          <w:szCs w:val="28"/>
        </w:rPr>
        <w:t xml:space="preserve"> сельского поселения Цимлянского района «Развитие культуры и туризма»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ранее 1 января 2025</w:t>
      </w:r>
      <w:r w:rsidRPr="00503446">
        <w:rPr>
          <w:sz w:val="28"/>
          <w:szCs w:val="28"/>
        </w:rPr>
        <w:t xml:space="preserve"> года, и распространяется на правоотношения, возникающие начиная с момента формирования </w:t>
      </w:r>
      <w:r>
        <w:rPr>
          <w:sz w:val="28"/>
          <w:szCs w:val="28"/>
        </w:rPr>
        <w:t>проекта местного бюджета на 2025 год и на плановый период 2026 и 2027</w:t>
      </w:r>
      <w:r w:rsidRPr="00503446">
        <w:rPr>
          <w:sz w:val="28"/>
          <w:szCs w:val="28"/>
        </w:rPr>
        <w:t xml:space="preserve"> годов.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062BDD" w:rsidRDefault="00062BDD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C6A64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А.Г. Савушинский</w:t>
      </w:r>
    </w:p>
    <w:p w:rsidR="00062BDD" w:rsidRDefault="00062BDD" w:rsidP="00D451F3">
      <w:pPr>
        <w:ind w:left="708"/>
        <w:rPr>
          <w:sz w:val="28"/>
          <w:szCs w:val="28"/>
        </w:rPr>
      </w:pPr>
    </w:p>
    <w:p w:rsidR="00D451F3" w:rsidRDefault="00D451F3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062BD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Калининского</w:t>
      </w:r>
      <w:r w:rsidR="007C6A64" w:rsidRPr="007C6A64">
        <w:rPr>
          <w:sz w:val="28"/>
        </w:rPr>
        <w:t xml:space="preserve"> сельского </w:t>
      </w:r>
    </w:p>
    <w:p w:rsidR="007C6A64" w:rsidRPr="007C6A64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364438">
        <w:rPr>
          <w:sz w:val="28"/>
        </w:rPr>
        <w:t>02.12.</w:t>
      </w:r>
      <w:r w:rsidR="005F37F3">
        <w:rPr>
          <w:sz w:val="28"/>
        </w:rPr>
        <w:t xml:space="preserve">2024г. № </w:t>
      </w:r>
      <w:r w:rsidR="00364438">
        <w:rPr>
          <w:sz w:val="28"/>
        </w:rPr>
        <w:t>132</w:t>
      </w:r>
    </w:p>
    <w:bookmarkEnd w:id="0"/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062BDD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Калининского</w:t>
      </w:r>
      <w:r w:rsidR="00D451F3">
        <w:rPr>
          <w:color w:val="000000"/>
          <w:sz w:val="28"/>
        </w:rPr>
        <w:t xml:space="preserve"> сельского поселения</w:t>
      </w:r>
      <w:r w:rsidR="00D451F3"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062BDD">
        <w:rPr>
          <w:sz w:val="28"/>
          <w:szCs w:val="28"/>
        </w:rPr>
        <w:t>Калининского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062BDD">
        <w:rPr>
          <w:sz w:val="28"/>
          <w:szCs w:val="28"/>
        </w:rPr>
        <w:t>Калининском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 xml:space="preserve">го культурного пространства в </w:t>
      </w:r>
      <w:r w:rsidR="00062BDD">
        <w:rPr>
          <w:sz w:val="28"/>
          <w:szCs w:val="28"/>
        </w:rPr>
        <w:t>Калининском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 xml:space="preserve">В настоящее время туристская деятельность в </w:t>
      </w:r>
      <w:r w:rsidR="00062BDD">
        <w:rPr>
          <w:color w:val="000000"/>
          <w:sz w:val="28"/>
          <w:szCs w:val="28"/>
          <w:shd w:val="clear" w:color="auto" w:fill="FFFFFF"/>
        </w:rPr>
        <w:t>Калининском</w:t>
      </w:r>
      <w:r w:rsidRPr="00D96D82">
        <w:rPr>
          <w:color w:val="000000"/>
          <w:sz w:val="28"/>
          <w:szCs w:val="28"/>
          <w:shd w:val="clear" w:color="auto" w:fill="FFFFFF"/>
        </w:rPr>
        <w:t xml:space="preserve">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 xml:space="preserve">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BA32DD" w:rsidRDefault="00BA32DD" w:rsidP="00BA32D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приоритетами 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развития культуры и туризма являются: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BA32DD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C712D6">
        <w:rPr>
          <w:sz w:val="28"/>
        </w:rPr>
        <w:t>.</w:t>
      </w:r>
    </w:p>
    <w:p w:rsidR="00EA79D7" w:rsidRDefault="00EA79D7" w:rsidP="00BA32DD">
      <w:pPr>
        <w:ind w:firstLine="709"/>
        <w:jc w:val="both"/>
        <w:rPr>
          <w:sz w:val="28"/>
          <w:szCs w:val="28"/>
          <w:shd w:val="clear" w:color="auto" w:fill="FFFFFF"/>
        </w:rPr>
      </w:pPr>
      <w:r w:rsidRPr="00EA79D7">
        <w:rPr>
          <w:sz w:val="28"/>
          <w:szCs w:val="28"/>
          <w:shd w:val="clear" w:color="auto" w:fill="FFFFFF"/>
        </w:rPr>
        <w:t>Целью муниципальной программы является: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населения, формирование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граждан в туристских услугах.</w:t>
      </w:r>
    </w:p>
    <w:p w:rsidR="00EA79D7" w:rsidRPr="00EA79D7" w:rsidRDefault="00EA79D7" w:rsidP="00BA32DD">
      <w:pPr>
        <w:ind w:firstLine="709"/>
        <w:jc w:val="both"/>
        <w:rPr>
          <w:sz w:val="28"/>
          <w:szCs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t xml:space="preserve">Муниципальная программа разработана в целях реализации на территории </w:t>
      </w:r>
      <w:r w:rsidR="00062BDD">
        <w:rPr>
          <w:sz w:val="28"/>
        </w:rPr>
        <w:t>Калининского</w:t>
      </w:r>
      <w:r w:rsidR="00AB7181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lastRenderedPageBreak/>
        <w:t xml:space="preserve">В рамках реализации сохранение и развитие культурного и исторического наследия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 xml:space="preserve">оприятий» к концу 2030 года – </w:t>
      </w:r>
      <w:r w:rsidR="001F6AAF">
        <w:rPr>
          <w:sz w:val="28"/>
        </w:rPr>
        <w:t>_____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326837" w:rsidRDefault="00326837" w:rsidP="00D96D82">
      <w:pPr>
        <w:ind w:firstLine="709"/>
        <w:jc w:val="both"/>
        <w:rPr>
          <w:sz w:val="28"/>
        </w:rPr>
      </w:pPr>
    </w:p>
    <w:p w:rsidR="00D96D82" w:rsidRDefault="00326837" w:rsidP="00D96D82">
      <w:pPr>
        <w:ind w:firstLine="709"/>
        <w:jc w:val="both"/>
        <w:rPr>
          <w:sz w:val="28"/>
        </w:rPr>
      </w:pPr>
      <w:r>
        <w:rPr>
          <w:sz w:val="28"/>
        </w:rPr>
        <w:t>Задачами муниципального управления в сфере развития культуры и туризма являются:</w:t>
      </w:r>
    </w:p>
    <w:p w:rsidR="00326837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</w:t>
      </w:r>
      <w:r w:rsidRPr="009234AD">
        <w:rPr>
          <w:sz w:val="28"/>
        </w:rPr>
        <w:t xml:space="preserve"> условия для </w:t>
      </w:r>
      <w:r>
        <w:rPr>
          <w:sz w:val="28"/>
        </w:rPr>
        <w:t xml:space="preserve">развития муниципальных учреждений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культуры;</w:t>
      </w:r>
    </w:p>
    <w:p w:rsidR="00AA108E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 условий для комплексного управления развития</w:t>
      </w:r>
      <w:r w:rsidRPr="00035126">
        <w:rPr>
          <w:sz w:val="28"/>
        </w:rPr>
        <w:t xml:space="preserve"> туристской отрасли </w:t>
      </w:r>
      <w:r>
        <w:rPr>
          <w:sz w:val="28"/>
        </w:rPr>
        <w:t xml:space="preserve">в </w:t>
      </w:r>
      <w:r w:rsidR="00062BDD">
        <w:rPr>
          <w:sz w:val="28"/>
        </w:rPr>
        <w:t>Калининском</w:t>
      </w:r>
      <w:r>
        <w:rPr>
          <w:sz w:val="28"/>
        </w:rPr>
        <w:t xml:space="preserve"> сельском поселении</w:t>
      </w:r>
    </w:p>
    <w:p w:rsidR="00AA108E" w:rsidRDefault="00AA108E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9"/>
          <w:footerReference w:type="default" r:id="rId10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lastRenderedPageBreak/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 xml:space="preserve">муниципальной программы </w:t>
      </w:r>
      <w:r w:rsidR="00062BDD">
        <w:rPr>
          <w:sz w:val="28"/>
          <w:szCs w:val="28"/>
        </w:rPr>
        <w:t>Калининского</w:t>
      </w:r>
      <w:r w:rsidRPr="00AA108E">
        <w:rPr>
          <w:sz w:val="28"/>
          <w:szCs w:val="28"/>
        </w:rPr>
        <w:t xml:space="preserve">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Куратор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914A91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Глава Администрации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F6AAF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Мокану Карина Андреевна</w:t>
            </w:r>
            <w:r w:rsidR="00A76D2D" w:rsidRPr="00AA108E">
              <w:rPr>
                <w:sz w:val="28"/>
                <w:szCs w:val="28"/>
              </w:rPr>
              <w:t xml:space="preserve">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 xml:space="preserve">культуры Цимлянского района </w:t>
            </w:r>
            <w:r w:rsidR="00062BDD">
              <w:rPr>
                <w:sz w:val="28"/>
                <w:szCs w:val="28"/>
              </w:rPr>
              <w:t>Калининского</w:t>
            </w:r>
            <w:r w:rsidR="0067448F"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="0067448F" w:rsidRPr="00AA108E">
              <w:rPr>
                <w:sz w:val="28"/>
                <w:szCs w:val="28"/>
              </w:rPr>
              <w:t>СП «ЦДК»);</w:t>
            </w:r>
          </w:p>
          <w:p w:rsidR="0067448F" w:rsidRPr="00AA108E" w:rsidRDefault="0067448F" w:rsidP="00407AAE">
            <w:pPr>
              <w:rPr>
                <w:sz w:val="28"/>
                <w:szCs w:val="28"/>
              </w:rPr>
            </w:pP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FDD" w:rsidRPr="00AA108E" w:rsidRDefault="00325F61" w:rsidP="00325F61">
            <w:pPr>
              <w:jc w:val="both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1F481A" w:rsidP="00FA7874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81ACC">
              <w:rPr>
                <w:sz w:val="28"/>
                <w:szCs w:val="28"/>
              </w:rPr>
              <w:t xml:space="preserve">величение туристского потока на </w:t>
            </w:r>
            <w:r>
              <w:rPr>
                <w:sz w:val="28"/>
                <w:szCs w:val="28"/>
              </w:rPr>
              <w:t xml:space="preserve">территорию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746B97" w:rsidP="00407AAE">
            <w:pPr>
              <w:rPr>
                <w:sz w:val="28"/>
                <w:szCs w:val="28"/>
              </w:rPr>
            </w:pPr>
            <w:r w:rsidRPr="00746B97">
              <w:rPr>
                <w:sz w:val="28"/>
                <w:szCs w:val="28"/>
              </w:rPr>
              <w:t>67208</w:t>
            </w:r>
            <w:r>
              <w:rPr>
                <w:sz w:val="28"/>
                <w:szCs w:val="28"/>
              </w:rPr>
              <w:t>,</w:t>
            </w:r>
            <w:r w:rsidRPr="00746B97">
              <w:rPr>
                <w:sz w:val="28"/>
                <w:szCs w:val="28"/>
              </w:rPr>
              <w:t>7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 xml:space="preserve">этап I: </w:t>
            </w:r>
            <w:r w:rsidR="00746B97">
              <w:rPr>
                <w:color w:val="000000"/>
                <w:sz w:val="28"/>
                <w:szCs w:val="28"/>
              </w:rPr>
              <w:t>35411,7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746B97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 xml:space="preserve">тап II: </w:t>
            </w:r>
            <w:r w:rsidR="00746B97">
              <w:rPr>
                <w:color w:val="000000"/>
                <w:sz w:val="28"/>
                <w:szCs w:val="28"/>
              </w:rPr>
              <w:t>31797,0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325F61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:rsidR="00134340" w:rsidRDefault="00134340" w:rsidP="00134340">
      <w:pPr>
        <w:rPr>
          <w:sz w:val="24"/>
          <w:szCs w:val="24"/>
        </w:rPr>
      </w:pPr>
      <w:r w:rsidRPr="00D744B5">
        <w:rPr>
          <w:sz w:val="24"/>
          <w:szCs w:val="24"/>
        </w:rPr>
        <w:br w:type="page"/>
      </w:r>
    </w:p>
    <w:p w:rsidR="00914A91" w:rsidRPr="00AA108E" w:rsidRDefault="00914A91" w:rsidP="00914A91">
      <w:pPr>
        <w:jc w:val="center"/>
        <w:rPr>
          <w:sz w:val="28"/>
          <w:szCs w:val="24"/>
        </w:rPr>
      </w:pPr>
      <w:r w:rsidRPr="00AA108E">
        <w:rPr>
          <w:sz w:val="28"/>
          <w:szCs w:val="24"/>
        </w:rPr>
        <w:lastRenderedPageBreak/>
        <w:t xml:space="preserve">2. Показатели муниципальной программы </w:t>
      </w:r>
      <w:r w:rsidR="00062BDD">
        <w:rPr>
          <w:sz w:val="28"/>
          <w:szCs w:val="24"/>
        </w:rPr>
        <w:t>Калининского</w:t>
      </w:r>
      <w:r w:rsidRPr="00AA108E">
        <w:rPr>
          <w:sz w:val="28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90"/>
        <w:gridCol w:w="838"/>
        <w:gridCol w:w="799"/>
        <w:gridCol w:w="729"/>
        <w:gridCol w:w="1329"/>
        <w:gridCol w:w="2285"/>
        <w:gridCol w:w="1682"/>
        <w:gridCol w:w="2554"/>
        <w:gridCol w:w="1390"/>
      </w:tblGrid>
      <w:tr w:rsidR="005441EE" w:rsidRPr="005441EE" w:rsidTr="003F3BB9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№ </w:t>
            </w:r>
            <w:proofErr w:type="gramStart"/>
            <w:r w:rsidRPr="005441EE">
              <w:rPr>
                <w:color w:val="000000"/>
                <w:sz w:val="24"/>
              </w:rPr>
              <w:t>п</w:t>
            </w:r>
            <w:proofErr w:type="gramEnd"/>
            <w:r w:rsidRPr="005441EE">
              <w:rPr>
                <w:color w:val="000000"/>
                <w:sz w:val="24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5441EE">
              <w:rPr>
                <w:color w:val="000000"/>
                <w:sz w:val="24"/>
              </w:rPr>
              <w:t>возраста-ния</w:t>
            </w:r>
            <w:proofErr w:type="gramEnd"/>
            <w:r w:rsidRPr="005441EE">
              <w:rPr>
                <w:color w:val="000000"/>
                <w:sz w:val="24"/>
              </w:rPr>
              <w:t xml:space="preserve"> / 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Вид показателя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Документ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Ответствен-ный</w:t>
            </w:r>
            <w:proofErr w:type="gramEnd"/>
            <w:r w:rsidRPr="005441EE">
              <w:rPr>
                <w:color w:val="000000"/>
                <w:sz w:val="24"/>
              </w:rPr>
              <w:t xml:space="preserve"> за дос-тижение показателя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Связь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с показателями национальных целей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Информа-ционная</w:t>
            </w:r>
            <w:proofErr w:type="gramEnd"/>
            <w:r w:rsidRPr="005441EE">
              <w:rPr>
                <w:color w:val="000000"/>
                <w:sz w:val="24"/>
              </w:rPr>
              <w:t xml:space="preserve"> система</w:t>
            </w:r>
          </w:p>
        </w:tc>
      </w:tr>
      <w:tr w:rsidR="005441EE" w:rsidRPr="005441EE" w:rsidTr="003F3BB9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значе-ние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2030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(спра-вочно)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</w:tr>
      <w:tr w:rsidR="005441EE" w:rsidRPr="00035126" w:rsidTr="005441EE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2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3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5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12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15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16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1. Цель муниципальной программы «Сохранение и развитие культурного и исторического наследия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а также увеличение числа пос</w:t>
            </w:r>
            <w:r w:rsidR="003F3BB9">
              <w:rPr>
                <w:sz w:val="28"/>
                <w:szCs w:val="28"/>
              </w:rPr>
              <w:t xml:space="preserve">ещений культурных мероприятий </w:t>
            </w:r>
            <w:r w:rsidRPr="00C81ACC">
              <w:rPr>
                <w:sz w:val="28"/>
                <w:szCs w:val="28"/>
              </w:rPr>
              <w:t>к концу 2030 года по сравнению с 2019 годом»</w:t>
            </w:r>
          </w:p>
        </w:tc>
      </w:tr>
      <w:tr w:rsidR="005441EE" w:rsidRPr="00035126" w:rsidTr="001D7CD9">
        <w:trPr>
          <w:trHeight w:val="37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1D7CD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</w:t>
            </w:r>
            <w:r w:rsidR="001D7CD9">
              <w:rPr>
                <w:sz w:val="28"/>
                <w:szCs w:val="28"/>
              </w:rPr>
              <w:t>1</w:t>
            </w:r>
            <w:r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Условия 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для воспитания гармонично </w:t>
            </w:r>
            <w:proofErr w:type="gramStart"/>
            <w:r w:rsidRPr="00786B16">
              <w:rPr>
                <w:sz w:val="24"/>
                <w:szCs w:val="24"/>
              </w:rPr>
              <w:t>развитой</w:t>
            </w:r>
            <w:proofErr w:type="gramEnd"/>
            <w:r w:rsidRPr="00786B16">
              <w:rPr>
                <w:sz w:val="24"/>
                <w:szCs w:val="24"/>
              </w:rPr>
              <w:t xml:space="preserve"> 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86B1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Ведом-ственный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создание условий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и национально-культурных традиций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1D7CD9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441EE"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Тысяч единиц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6000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7000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увеличение числа посещений культурных мероприятий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в три раза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по сравнению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 показателем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2019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2. Цель муниципальной программы «Увеличение туристского потока на территории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года»</w:t>
            </w:r>
          </w:p>
        </w:tc>
      </w:tr>
      <w:tr w:rsidR="005441EE" w:rsidRPr="00486B73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2.1.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Прирост численности лиц, размещенных </w:t>
            </w:r>
          </w:p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 коллективных средствах размещения (к предыдущему году)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Стратегия социально-экономического развития </w:t>
            </w:r>
            <w:r>
              <w:rPr>
                <w:sz w:val="24"/>
              </w:rPr>
              <w:t>Калининского сельского поселения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до 2030 года,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МБУК ЦР 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Гражданам с целью отдыха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и поддержания здоровья обеспечена доступность поездок по стране в условиях комфортной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>и безопасной туристической среды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486B73" w:rsidRDefault="005441EE" w:rsidP="003F3BB9">
            <w:pPr>
              <w:widowControl w:val="0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</w:tbl>
    <w:p w:rsidR="00914A91" w:rsidRPr="00D744B5" w:rsidRDefault="00914A91" w:rsidP="00134340">
      <w:pPr>
        <w:rPr>
          <w:sz w:val="24"/>
          <w:szCs w:val="24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 xml:space="preserve">Муниципальное бюджетное учреждение культуры Цимлянского района </w:t>
      </w:r>
      <w:r w:rsidR="00062BDD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МБУКЦР</w:t>
      </w:r>
      <w:r w:rsidR="00746B97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>СП «ЦДК»)</w:t>
      </w:r>
    </w:p>
    <w:p w:rsidR="006F65F6" w:rsidRDefault="006F65F6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407AAE">
      <w:pPr>
        <w:spacing w:line="226" w:lineRule="auto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t xml:space="preserve">3. Структура муниципальной (комплексной) программы </w:t>
      </w:r>
      <w:r w:rsidR="00062BDD">
        <w:rPr>
          <w:sz w:val="28"/>
          <w:szCs w:val="24"/>
        </w:rPr>
        <w:t>Калининского</w:t>
      </w:r>
      <w:r w:rsidRPr="006B48C3">
        <w:rPr>
          <w:sz w:val="28"/>
          <w:szCs w:val="24"/>
        </w:rPr>
        <w:t xml:space="preserve">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"/>
        <w:gridCol w:w="7385"/>
        <w:gridCol w:w="20"/>
        <w:gridCol w:w="22"/>
        <w:gridCol w:w="8198"/>
        <w:gridCol w:w="33"/>
        <w:gridCol w:w="4218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A715A4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A4" w:rsidRPr="00A715A4" w:rsidRDefault="00F42F1B" w:rsidP="00F42F1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A715A4" w:rsidRPr="00A715A4" w:rsidTr="002A1515">
        <w:trPr>
          <w:trHeight w:val="670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5A4" w:rsidRPr="003F3BB9" w:rsidRDefault="00F42F1B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1.1. Комплекс процессных мероприятий 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«Развитие культуры»</w:t>
            </w:r>
          </w:p>
        </w:tc>
      </w:tr>
      <w:tr w:rsidR="002A1515" w:rsidRPr="00A715A4" w:rsidTr="002A1515">
        <w:trPr>
          <w:trHeight w:val="447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Pr="002A1515" w:rsidRDefault="002A1515" w:rsidP="00746B97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Ответственный</w:t>
            </w:r>
            <w:proofErr w:type="gramEnd"/>
            <w:r w:rsidRPr="00A715A4">
              <w:rPr>
                <w:sz w:val="28"/>
                <w:szCs w:val="28"/>
              </w:rPr>
              <w:t xml:space="preserve"> за реализацию: МБУКЦР</w:t>
            </w:r>
            <w:r w:rsidR="00746B97">
              <w:rPr>
                <w:sz w:val="28"/>
                <w:szCs w:val="28"/>
              </w:rPr>
              <w:t>К</w:t>
            </w:r>
            <w:r w:rsidRPr="00A715A4">
              <w:rPr>
                <w:sz w:val="28"/>
                <w:szCs w:val="28"/>
              </w:rPr>
              <w:t xml:space="preserve">СП </w:t>
            </w:r>
            <w:r>
              <w:rPr>
                <w:sz w:val="28"/>
                <w:szCs w:val="28"/>
              </w:rPr>
              <w:t>«</w:t>
            </w:r>
            <w:r w:rsidRPr="00A715A4">
              <w:rPr>
                <w:sz w:val="28"/>
                <w:szCs w:val="28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 2025 – 2030 годы</w:t>
            </w: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.1.1.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486B73">
              <w:rPr>
                <w:sz w:val="28"/>
              </w:rPr>
              <w:t>Повыше</w:t>
            </w:r>
            <w:r>
              <w:rPr>
                <w:sz w:val="28"/>
              </w:rPr>
              <w:t xml:space="preserve">на привлекательность учреждения </w:t>
            </w:r>
            <w:r w:rsidRPr="00486B73">
              <w:rPr>
                <w:sz w:val="28"/>
              </w:rPr>
              <w:t xml:space="preserve">сферы культуры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proofErr w:type="gramStart"/>
            <w:r w:rsidRPr="00486B73">
              <w:rPr>
                <w:sz w:val="28"/>
              </w:rPr>
              <w:t>обеспечено развитие и укрепление материально-технической базы, а также создание новых постановок 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в современных форматах</w:t>
            </w:r>
            <w:proofErr w:type="gram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04EE">
              <w:rPr>
                <w:sz w:val="28"/>
              </w:rPr>
              <w:t>1.1.2.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 xml:space="preserve">Созданы условия для сохранения культурно-исторического наследия 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>созданы условия для сохранения к</w:t>
            </w:r>
            <w:r w:rsidR="003F3BB9">
              <w:rPr>
                <w:sz w:val="28"/>
              </w:rPr>
              <w:t>ультурно-исторического наследия</w:t>
            </w:r>
            <w:r w:rsidRPr="005504EE">
              <w:rPr>
                <w:sz w:val="28"/>
              </w:rPr>
              <w:t>, а также за счет проведения восстановительных работ на воинских захоронениях и (или) памятниках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407AAE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081707" w:rsidRDefault="006B48C3" w:rsidP="002A1515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081707">
              <w:rPr>
                <w:sz w:val="28"/>
                <w:szCs w:val="28"/>
              </w:rPr>
              <w:t>2</w:t>
            </w:r>
            <w:r w:rsidR="002A1515" w:rsidRPr="00081707">
              <w:rPr>
                <w:sz w:val="28"/>
                <w:szCs w:val="28"/>
              </w:rPr>
              <w:t>.</w:t>
            </w:r>
            <w:r w:rsidR="00407AAE" w:rsidRPr="00081707"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B48C3" w:rsidRPr="00A715A4" w:rsidTr="00D3379F">
        <w:trPr>
          <w:trHeight w:val="524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C3" w:rsidRPr="003F3BB9" w:rsidRDefault="006B48C3" w:rsidP="00E4132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2.1. Комплекс процессных мероприятий </w:t>
            </w:r>
            <w:r w:rsidR="003F3BB9" w:rsidRPr="003F3BB9">
              <w:rPr>
                <w:rFonts w:eastAsia="Calibri"/>
                <w:sz w:val="28"/>
                <w:szCs w:val="28"/>
                <w:lang w:eastAsia="ar-SA"/>
              </w:rPr>
              <w:t>«Туризм»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</w:t>
            </w:r>
            <w:r w:rsidR="00081707">
              <w:rPr>
                <w:sz w:val="28"/>
                <w:szCs w:val="28"/>
              </w:rPr>
              <w:t>й</w:t>
            </w:r>
            <w:proofErr w:type="gramEnd"/>
            <w:r w:rsidR="00081707">
              <w:rPr>
                <w:sz w:val="28"/>
                <w:szCs w:val="28"/>
              </w:rPr>
              <w:t xml:space="preserve"> за реализацию: 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 w:rsidR="000817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</w:t>
            </w:r>
            <w:r w:rsidRPr="00A715A4">
              <w:rPr>
                <w:i/>
                <w:sz w:val="28"/>
                <w:szCs w:val="28"/>
              </w:rPr>
              <w:t xml:space="preserve"> </w:t>
            </w:r>
            <w:r w:rsidRPr="00081707">
              <w:rPr>
                <w:sz w:val="28"/>
                <w:szCs w:val="28"/>
              </w:rPr>
              <w:t>2025-2030 годы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>развития муниципальных учреждений Калининского сельского поселения в сфере культуры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2B74B0">
              <w:rPr>
                <w:sz w:val="28"/>
              </w:rPr>
              <w:t xml:space="preserve">обеспечена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>Калининского сельского поселения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число посещений культурных мероприятий; условия для воспитания гармонично развитой и социально ответственной личности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.1.2.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Повышена привлекательность учреждений культуры </w:t>
            </w:r>
            <w:r>
              <w:rPr>
                <w:sz w:val="28"/>
              </w:rPr>
              <w:t>Калининского сельского поселения для жителей и гостей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,</w:t>
            </w:r>
            <w:proofErr w:type="gramEnd"/>
            <w:r w:rsidRPr="00104D74">
              <w:rPr>
                <w:sz w:val="28"/>
              </w:rPr>
              <w:t xml:space="preserve"> а также повышена доступность и качества услуг</w:t>
            </w:r>
            <w:r>
              <w:rPr>
                <w:sz w:val="28"/>
              </w:rPr>
              <w:t xml:space="preserve"> учреждения культуры </w:t>
            </w:r>
            <w:r w:rsidRPr="00104D74">
              <w:rPr>
                <w:sz w:val="28"/>
              </w:rPr>
              <w:t xml:space="preserve"> для населения независимо от уровня доходов, социального статуса и места проживания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обеспечена доступность лучших образцов классического и современного искусства для жителей </w:t>
            </w:r>
            <w:r>
              <w:rPr>
                <w:sz w:val="28"/>
              </w:rPr>
              <w:t>Калининского сельского поселения</w:t>
            </w:r>
            <w:r w:rsidRPr="00104D74">
              <w:rPr>
                <w:sz w:val="28"/>
              </w:rPr>
              <w:t>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эффективная интеграция в областной культурный процесс путем взаимодействия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обеспечена сохранность</w:t>
            </w:r>
            <w:r>
              <w:rPr>
                <w:sz w:val="28"/>
              </w:rPr>
              <w:t xml:space="preserve"> зданий учреждения</w:t>
            </w:r>
            <w:r w:rsidRPr="00104D74">
              <w:rPr>
                <w:sz w:val="28"/>
              </w:rPr>
              <w:t xml:space="preserve"> культу</w:t>
            </w:r>
            <w:r>
              <w:rPr>
                <w:sz w:val="28"/>
              </w:rPr>
              <w:t>ры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;</w:t>
            </w:r>
            <w:proofErr w:type="gramEnd"/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созданы безопасные и благоприятные условия нахождения граждан в учреждениях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улучшено техническое состояния здание учреждений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lastRenderedPageBreak/>
              <w:t>обеспечение пожарной безопасности зданий учреждений культуры и образовательных организаций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создание условий для удовлетворения потребностей населения в культурно-досуговой деятельности, расширены возможности для духовного развития;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повышен творческий потенциал самодеятельных коллективов народного творчества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lastRenderedPageBreak/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>Повышено качество кадрового обеспечения в отрасли культуры и искусства</w:t>
            </w:r>
          </w:p>
          <w:p w:rsidR="005441EE" w:rsidRDefault="005441EE" w:rsidP="005441EE">
            <w:pPr>
              <w:rPr>
                <w:sz w:val="28"/>
              </w:rPr>
            </w:pPr>
          </w:p>
          <w:p w:rsidR="005441EE" w:rsidRPr="005441EE" w:rsidRDefault="005441EE" w:rsidP="005441EE">
            <w:pPr>
              <w:tabs>
                <w:tab w:val="left" w:pos="259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Сохранены </w:t>
            </w:r>
            <w:r w:rsidRPr="00035126">
              <w:rPr>
                <w:sz w:val="28"/>
              </w:rPr>
              <w:t>и переда</w:t>
            </w:r>
            <w:r>
              <w:rPr>
                <w:sz w:val="28"/>
              </w:rPr>
              <w:t>ны</w:t>
            </w:r>
            <w:r w:rsidRPr="00035126">
              <w:rPr>
                <w:sz w:val="28"/>
              </w:rPr>
              <w:t xml:space="preserve"> новым поколениям традици</w:t>
            </w:r>
            <w:r>
              <w:rPr>
                <w:sz w:val="28"/>
              </w:rPr>
              <w:t>и</w:t>
            </w:r>
            <w:r w:rsidRPr="00035126">
              <w:rPr>
                <w:sz w:val="28"/>
              </w:rPr>
              <w:t xml:space="preserve"> профессиональ</w:t>
            </w:r>
            <w:r w:rsidRPr="00035126">
              <w:rPr>
                <w:sz w:val="28"/>
              </w:rPr>
              <w:softHyphen/>
              <w:t>ного образования в сфере культуры и искусства;</w:t>
            </w:r>
            <w:r>
              <w:rPr>
                <w:sz w:val="28"/>
              </w:rPr>
              <w:t xml:space="preserve"> </w:t>
            </w:r>
            <w:r w:rsidRPr="00035126">
              <w:rPr>
                <w:sz w:val="28"/>
              </w:rPr>
              <w:t>эстетическое воспитание подрастающего поколе</w:t>
            </w:r>
            <w:r w:rsidRPr="00035126">
              <w:rPr>
                <w:sz w:val="28"/>
              </w:rPr>
              <w:softHyphen/>
              <w:t>ния; воспитание подго</w:t>
            </w:r>
            <w:r w:rsidRPr="00035126">
              <w:rPr>
                <w:sz w:val="28"/>
              </w:rPr>
              <w:softHyphen/>
              <w:t>тов</w:t>
            </w:r>
            <w:r w:rsidRPr="00035126">
              <w:rPr>
                <w:sz w:val="28"/>
              </w:rPr>
              <w:softHyphen/>
              <w:t>ленной и заинтересо</w:t>
            </w:r>
            <w:r w:rsidRPr="00035126">
              <w:rPr>
                <w:sz w:val="28"/>
              </w:rPr>
              <w:softHyphen/>
              <w:t>ванной аудитории слушателей и зрителей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146203">
              <w:rPr>
                <w:sz w:val="28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5441EE" w:rsidRPr="00A715A4" w:rsidTr="003F3BB9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5441EE" w:rsidRDefault="005441EE" w:rsidP="005441EE">
            <w:pPr>
              <w:widowControl w:val="0"/>
              <w:spacing w:line="228" w:lineRule="auto"/>
              <w:jc w:val="center"/>
              <w:outlineLvl w:val="2"/>
              <w:rPr>
                <w:i/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2.2. Комплекс процессных мероприятий </w:t>
            </w:r>
            <w:r w:rsidRPr="005441EE">
              <w:rPr>
                <w:i/>
                <w:color w:val="000000"/>
                <w:sz w:val="28"/>
              </w:rPr>
              <w:t>«</w:t>
            </w:r>
            <w:r w:rsidRPr="005441EE">
              <w:rPr>
                <w:color w:val="000000"/>
                <w:sz w:val="28"/>
              </w:rPr>
              <w:t>Создание условий для развития туризма</w:t>
            </w:r>
            <w:r w:rsidRPr="005441EE">
              <w:rPr>
                <w:i/>
                <w:color w:val="000000"/>
                <w:sz w:val="28"/>
              </w:rPr>
              <w:t xml:space="preserve">» 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8"/>
              </w:rPr>
            </w:pPr>
          </w:p>
          <w:p w:rsidR="005441EE" w:rsidRPr="00AA108E" w:rsidRDefault="005441EE" w:rsidP="005441EE">
            <w:pPr>
              <w:rPr>
                <w:sz w:val="28"/>
                <w:szCs w:val="28"/>
              </w:rPr>
            </w:pPr>
            <w:proofErr w:type="gramStart"/>
            <w:r w:rsidRPr="005441EE">
              <w:rPr>
                <w:color w:val="000000"/>
                <w:sz w:val="28"/>
              </w:rPr>
              <w:t>Ответственный</w:t>
            </w:r>
            <w:proofErr w:type="gramEnd"/>
            <w:r w:rsidRPr="005441EE">
              <w:rPr>
                <w:color w:val="000000"/>
                <w:sz w:val="28"/>
              </w:rPr>
              <w:t xml:space="preserve"> за реализацию:  </w:t>
            </w:r>
            <w:r>
              <w:rPr>
                <w:sz w:val="28"/>
                <w:szCs w:val="28"/>
              </w:rPr>
              <w:t>Мокану Карина Андреевна</w:t>
            </w:r>
            <w:r w:rsidRPr="00AA108E">
              <w:rPr>
                <w:sz w:val="28"/>
                <w:szCs w:val="28"/>
              </w:rPr>
              <w:t xml:space="preserve"> - директор муниципального бюджетного учреждения культуры Цимлянского района </w:t>
            </w:r>
            <w:r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Pr="00AA108E">
              <w:rPr>
                <w:sz w:val="28"/>
                <w:szCs w:val="28"/>
              </w:rPr>
              <w:t>СП «ЦДК»);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Срок реализации: 2025 – 2030 годы</w:t>
            </w:r>
          </w:p>
          <w:p w:rsidR="005441EE" w:rsidRPr="00146203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.2.1.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>прирост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1"/>
          <w:footerReference w:type="default" r:id="rId12"/>
          <w:headerReference w:type="first" r:id="rId13"/>
          <w:footerReference w:type="first" r:id="rId14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AA108E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 xml:space="preserve">Финансовое обеспечение муниципальной (комплексной) программы </w:t>
      </w:r>
      <w:r w:rsidR="00062BDD">
        <w:rPr>
          <w:sz w:val="28"/>
          <w:szCs w:val="28"/>
        </w:rPr>
        <w:t>Калининского</w:t>
      </w:r>
      <w:r w:rsidR="004F78B8" w:rsidRPr="006B48C3">
        <w:rPr>
          <w:sz w:val="28"/>
          <w:szCs w:val="28"/>
        </w:rPr>
        <w:t xml:space="preserve">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4F78B8">
              <w:rPr>
                <w:sz w:val="28"/>
                <w:szCs w:val="28"/>
              </w:rPr>
              <w:t xml:space="preserve">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90487F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Default="0090487F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5"/>
          <w:footerReference w:type="default" r:id="rId16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lastRenderedPageBreak/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90487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МБУКЦР</w:t>
            </w:r>
            <w:r w:rsidR="0090487F">
              <w:rPr>
                <w:sz w:val="28"/>
                <w:szCs w:val="28"/>
              </w:rPr>
              <w:t>К</w:t>
            </w:r>
            <w:r w:rsidRPr="00A61E36">
              <w:rPr>
                <w:sz w:val="28"/>
                <w:szCs w:val="28"/>
              </w:rPr>
              <w:t xml:space="preserve">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1856"/>
        <w:gridCol w:w="1386"/>
        <w:gridCol w:w="185"/>
      </w:tblGrid>
      <w:tr w:rsidR="00A1493A" w:rsidRPr="00A1493A" w:rsidTr="00714C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gridAfter w:val="1"/>
          <w:wAfter w:w="185" w:type="dxa"/>
        </w:trPr>
        <w:tc>
          <w:tcPr>
            <w:tcW w:w="160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61E36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процессных мероприятий «Создание условий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1</w:t>
            </w:r>
            <w:r w:rsidRPr="00A1493A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3F3B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 xml:space="preserve">ших современное оборудование </w:t>
            </w:r>
            <w:r w:rsidRPr="00A1493A">
              <w:rPr>
                <w:kern w:val="2"/>
                <w:sz w:val="28"/>
                <w:szCs w:val="28"/>
              </w:rPr>
              <w:lastRenderedPageBreak/>
              <w:t>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Информационная система отсутству</w:t>
            </w:r>
            <w:r>
              <w:rPr>
                <w:sz w:val="28"/>
                <w:szCs w:val="28"/>
              </w:rPr>
              <w:lastRenderedPageBreak/>
              <w:t>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3F3BB9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714CD0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714CD0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№ </w:t>
            </w:r>
            <w:proofErr w:type="gramStart"/>
            <w:r w:rsidRPr="00714CD0">
              <w:rPr>
                <w:sz w:val="28"/>
                <w:szCs w:val="28"/>
              </w:rPr>
              <w:t>п</w:t>
            </w:r>
            <w:proofErr w:type="gramEnd"/>
            <w:r w:rsidRPr="00714CD0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Единица измерения </w:t>
            </w:r>
            <w:r w:rsidRPr="00714CD0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714CD0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7</w:t>
            </w:r>
          </w:p>
        </w:tc>
      </w:tr>
      <w:tr w:rsidR="00714CD0" w:rsidRPr="00714CD0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3F3BB9" w:rsidRDefault="00714CD0" w:rsidP="003F3BB9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>Задача 1 комплекса процессных мероприятий «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культуры»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714CD0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 xml:space="preserve">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обеспечение деятельности муниципальных учреждений культуры Цимлянского района, подведомственных отделу культуры Цимлянского </w:t>
            </w:r>
            <w:r w:rsidRPr="00F56CD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  <w:r w:rsidRPr="00714CD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массовых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созданы условия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муниципальным учреждением и культурных</w:t>
            </w:r>
            <w:r w:rsidRPr="00673598">
              <w:rPr>
                <w:sz w:val="24"/>
                <w:szCs w:val="24"/>
              </w:rPr>
              <w:t xml:space="preserve"> </w:t>
            </w:r>
            <w:r w:rsidRPr="00714CD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0487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90487F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87F">
              <w:rPr>
                <w:sz w:val="28"/>
                <w:szCs w:val="28"/>
              </w:rPr>
              <w:t>21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487F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EA0A66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</w:t>
            </w:r>
            <w:r w:rsidRPr="00EA0A66">
              <w:rPr>
                <w:sz w:val="28"/>
                <w:szCs w:val="28"/>
              </w:rPr>
              <w:t>мероприятий «</w:t>
            </w:r>
            <w:r w:rsidR="003F3BB9" w:rsidRPr="00EA0A66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</w:t>
            </w:r>
            <w:r w:rsidRPr="00EA0A66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Pr="00443AE3" w:rsidRDefault="0090487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0487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A0A66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66" w:rsidRPr="00443AE3" w:rsidRDefault="00EA0A66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66" w:rsidRPr="00443AE3" w:rsidRDefault="00EA0A66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 xml:space="preserve">Мероприятие (результат) 1 </w:t>
            </w:r>
            <w:r w:rsidRPr="003F3BB9">
              <w:rPr>
                <w:i/>
                <w:sz w:val="28"/>
                <w:szCs w:val="28"/>
              </w:rPr>
              <w:t>«</w:t>
            </w:r>
            <w:r w:rsidRPr="003F3BB9">
              <w:rPr>
                <w:sz w:val="28"/>
                <w:szCs w:val="28"/>
              </w:rPr>
              <w:t>Расходы на обеспечение деятельности муниципальных учреждений Калининского сельского поселения (в части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A66" w:rsidRPr="00443AE3" w:rsidRDefault="00EA0A66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66" w:rsidRPr="004F78B8" w:rsidRDefault="00EA0A66" w:rsidP="00CC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66" w:rsidRPr="004F78B8" w:rsidRDefault="00EA0A66" w:rsidP="00CC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66" w:rsidRPr="004F78B8" w:rsidRDefault="00EA0A66" w:rsidP="00CC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66" w:rsidRPr="004F78B8" w:rsidRDefault="00EA0A66" w:rsidP="00CC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0487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43AE3" w:rsidRDefault="0090487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87F" w:rsidRPr="00443AE3" w:rsidRDefault="0090487F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4F78B8" w:rsidRDefault="0090487F" w:rsidP="003F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16863,0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</w:t>
            </w:r>
            <w:r w:rsidRPr="00EA0A66">
              <w:rPr>
                <w:i/>
                <w:sz w:val="28"/>
                <w:szCs w:val="28"/>
              </w:rPr>
              <w:t>«</w:t>
            </w:r>
            <w:r w:rsidR="00EA0A66" w:rsidRPr="00EA0A66">
              <w:rPr>
                <w:rFonts w:eastAsia="Calibri"/>
                <w:sz w:val="28"/>
                <w:szCs w:val="28"/>
                <w:lang w:eastAsia="ar-SA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  <w:r w:rsidRPr="00EA0A66"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951 0801 044010070</w:t>
            </w:r>
            <w:r w:rsidRPr="001D2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EA0A66" w:rsidRDefault="00EA0A66" w:rsidP="00D3379F">
      <w:pPr>
        <w:widowControl w:val="0"/>
        <w:jc w:val="center"/>
        <w:rPr>
          <w:sz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lastRenderedPageBreak/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C14F3D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№ </w:t>
            </w:r>
            <w:r w:rsidRPr="00C14F3D">
              <w:rPr>
                <w:color w:val="000000"/>
                <w:sz w:val="24"/>
              </w:rPr>
              <w:br/>
            </w:r>
            <w:proofErr w:type="gramStart"/>
            <w:r w:rsidRPr="00C14F3D">
              <w:rPr>
                <w:color w:val="000000"/>
                <w:sz w:val="24"/>
              </w:rPr>
              <w:t>п</w:t>
            </w:r>
            <w:proofErr w:type="gramEnd"/>
            <w:r w:rsidRPr="00C14F3D">
              <w:rPr>
                <w:color w:val="000000"/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14F3D">
              <w:rPr>
                <w:color w:val="000000"/>
                <w:sz w:val="24"/>
              </w:rPr>
              <w:t>Задача,</w:t>
            </w:r>
            <w:r w:rsidRPr="00C14F3D">
              <w:rPr>
                <w:color w:val="000000"/>
                <w:spacing w:val="-2"/>
                <w:sz w:val="24"/>
              </w:rPr>
              <w:t xml:space="preserve"> м</w:t>
            </w:r>
            <w:r w:rsidRPr="00C14F3D">
              <w:rPr>
                <w:color w:val="000000"/>
                <w:sz w:val="24"/>
              </w:rPr>
              <w:t>ероприятие</w:t>
            </w:r>
            <w:r w:rsidRPr="00C14F3D">
              <w:rPr>
                <w:color w:val="000000"/>
                <w:spacing w:val="-4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(результат)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/</w:t>
            </w:r>
            <w:r w:rsidRPr="00C14F3D">
              <w:rPr>
                <w:color w:val="000000"/>
                <w:spacing w:val="-1"/>
                <w:sz w:val="24"/>
              </w:rPr>
              <w:t xml:space="preserve">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контрольная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(ФИО, должность,</w:t>
            </w:r>
            <w:r w:rsidRPr="00C14F3D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C14F3D">
              <w:rPr>
                <w:color w:val="000000"/>
              </w:rPr>
              <w:t xml:space="preserve">структурного подразделения Администрации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AB638E">
              <w:rPr>
                <w:color w:val="000000"/>
              </w:rPr>
              <w:t xml:space="preserve"> </w:t>
            </w:r>
            <w:r w:rsidRPr="00C14F3D">
              <w:rPr>
                <w:color w:val="000000"/>
              </w:rPr>
              <w:t xml:space="preserve">/ муниципального учреждения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C14F3D">
              <w:rPr>
                <w:color w:val="000000"/>
                <w:spacing w:val="-1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подразделение</w:t>
            </w:r>
            <w:r w:rsidR="00D61565">
              <w:rPr>
                <w:color w:val="000000"/>
                <w:sz w:val="24"/>
              </w:rPr>
              <w:t xml:space="preserve"> органи</w:t>
            </w:r>
            <w:r w:rsidRPr="00C14F3D">
              <w:rPr>
                <w:color w:val="000000"/>
                <w:sz w:val="24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Информационная система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(источник данных) </w:t>
            </w:r>
          </w:p>
        </w:tc>
      </w:tr>
      <w:tr w:rsidR="00D3379F" w:rsidRPr="00C14F3D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6</w:t>
            </w:r>
          </w:p>
        </w:tc>
      </w:tr>
      <w:tr w:rsidR="00D3379F" w:rsidRPr="00C14F3D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D3379F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D3379F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379F">
              <w:rPr>
                <w:color w:val="000000"/>
                <w:sz w:val="28"/>
                <w:szCs w:val="28"/>
              </w:rPr>
              <w:t>Задача комплекса пр</w:t>
            </w:r>
            <w:r w:rsidR="00D6156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D3379F">
              <w:rPr>
                <w:color w:val="000000"/>
                <w:sz w:val="28"/>
                <w:szCs w:val="28"/>
              </w:rPr>
              <w:t>«</w:t>
            </w:r>
            <w:r w:rsidRPr="00D3379F">
              <w:rPr>
                <w:sz w:val="28"/>
                <w:szCs w:val="28"/>
              </w:rPr>
              <w:t xml:space="preserve">Созданы условия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D3379F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D61565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</w:p>
          <w:p w:rsidR="00D61565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  <w:r w:rsidRPr="0086343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1.«Обеспечено выполнение муниципального задания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86343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D61565" w:rsidRPr="00D6156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90487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 w:rsidR="0090487F"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47084" w:rsidRDefault="00863432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  <w:r w:rsidRPr="00863432">
              <w:rPr>
                <w:color w:val="000000"/>
                <w:sz w:val="28"/>
              </w:rPr>
              <w:t>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1.1 «Заключены соглашения о предоставлении субсидии на финансовое обеспечение выполнения </w:t>
            </w:r>
            <w:r w:rsidRPr="009E32A9">
              <w:rPr>
                <w:sz w:val="28"/>
              </w:rPr>
              <w:lastRenderedPageBreak/>
              <w:t xml:space="preserve">муниципального задания культуры </w:t>
            </w:r>
            <w:r w:rsidR="00062BDD">
              <w:rPr>
                <w:sz w:val="28"/>
              </w:rPr>
              <w:t>Калининского</w:t>
            </w:r>
            <w:r w:rsidRPr="009E32A9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30.01.2025</w:t>
            </w:r>
          </w:p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4"/>
              </w:rPr>
            </w:pPr>
            <w:r w:rsidRPr="00863432">
              <w:rPr>
                <w:color w:val="000000"/>
                <w:sz w:val="28"/>
              </w:rPr>
              <w:t>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1.2 «Предоставлен отчет о выполнении муниципального задания муниципальным учреждением культуры </w:t>
            </w:r>
            <w:r w:rsidR="00062BDD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</w:rPr>
            </w:pPr>
          </w:p>
          <w:p w:rsidR="0090487F" w:rsidRPr="00863432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1.5</w:t>
            </w:r>
            <w:r w:rsidRPr="00863432">
              <w:rPr>
                <w:color w:val="000000"/>
                <w:sz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E32A9" w:rsidRDefault="0090487F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>Контрольная точка 1.3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«Услуга оказана, работы выполнены»</w:t>
            </w:r>
          </w:p>
          <w:p w:rsidR="0090487F" w:rsidRPr="009E32A9" w:rsidRDefault="0090487F" w:rsidP="009E32A9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0487F" w:rsidRPr="00783BC9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E11875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783BC9" w:rsidRDefault="0090487F" w:rsidP="00D36C78">
            <w:pPr>
              <w:widowControl w:val="0"/>
              <w:jc w:val="center"/>
              <w:rPr>
                <w:sz w:val="28"/>
              </w:rPr>
            </w:pPr>
            <w:r w:rsidRPr="007D41FB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 xml:space="preserve">Иные цели на содержание, обеспечение 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деятельности, реализацию мероприятий</w:t>
            </w:r>
            <w:r>
              <w:rPr>
                <w:sz w:val="28"/>
              </w:rPr>
              <w:t>» в 2025, 2026, 2027 годах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1</w:t>
            </w:r>
            <w:r w:rsidRPr="00777090">
              <w:rPr>
                <w:sz w:val="28"/>
              </w:rPr>
              <w:t>.</w:t>
            </w:r>
            <w:r>
              <w:rPr>
                <w:sz w:val="28"/>
              </w:rPr>
              <w:t xml:space="preserve"> «</w:t>
            </w:r>
            <w:r w:rsidR="001D06CB">
              <w:rPr>
                <w:sz w:val="28"/>
              </w:rPr>
              <w:t>Заключен Контракт на</w:t>
            </w:r>
            <w:r>
              <w:rPr>
                <w:sz w:val="28"/>
              </w:rPr>
              <w:t xml:space="preserve">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7090">
              <w:rPr>
                <w:sz w:val="28"/>
              </w:rPr>
              <w:t>в 1 полугодии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30.06.2027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t>1.</w:t>
            </w:r>
            <w:r>
              <w:rPr>
                <w:sz w:val="28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2</w:t>
            </w:r>
            <w:r w:rsidRPr="00777090">
              <w:rPr>
                <w:sz w:val="28"/>
              </w:rPr>
              <w:t xml:space="preserve">. </w:t>
            </w:r>
            <w:r>
              <w:rPr>
                <w:sz w:val="28"/>
              </w:rPr>
              <w:t>«</w:t>
            </w:r>
            <w:r w:rsidR="001D06CB">
              <w:rPr>
                <w:sz w:val="28"/>
              </w:rPr>
              <w:t xml:space="preserve">Преобретен товар, выполнены работы, оказаны услуги  на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sz w:val="28"/>
              </w:rPr>
              <w:t xml:space="preserve">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91433E" w:rsidRPr="00C712D6" w:rsidRDefault="0091433E" w:rsidP="0091433E">
      <w:pPr>
        <w:widowControl w:val="0"/>
        <w:jc w:val="center"/>
        <w:outlineLvl w:val="2"/>
        <w:rPr>
          <w:sz w:val="28"/>
        </w:rPr>
      </w:pPr>
      <w:r w:rsidRPr="00C712D6">
        <w:rPr>
          <w:sz w:val="28"/>
        </w:rPr>
        <w:t>ПАСПОРТ</w:t>
      </w:r>
    </w:p>
    <w:p w:rsidR="00EA0A66" w:rsidRPr="00EA0A66" w:rsidRDefault="0091433E" w:rsidP="00EA0A66">
      <w:pPr>
        <w:widowControl w:val="0"/>
        <w:jc w:val="center"/>
        <w:outlineLvl w:val="2"/>
        <w:rPr>
          <w:rFonts w:eastAsia="Calibri"/>
          <w:sz w:val="28"/>
          <w:szCs w:val="28"/>
          <w:lang w:eastAsia="ar-SA"/>
        </w:rPr>
      </w:pPr>
      <w:r w:rsidRPr="00C712D6">
        <w:rPr>
          <w:sz w:val="28"/>
        </w:rPr>
        <w:t xml:space="preserve">комплекса процессных </w:t>
      </w:r>
      <w:r w:rsidRPr="00EA0A66">
        <w:rPr>
          <w:sz w:val="28"/>
          <w:szCs w:val="28"/>
        </w:rPr>
        <w:t xml:space="preserve">мероприятий </w:t>
      </w:r>
      <w:r w:rsidR="00EA0A66" w:rsidRPr="00EA0A66">
        <w:rPr>
          <w:rFonts w:eastAsia="Calibri"/>
          <w:sz w:val="28"/>
          <w:szCs w:val="28"/>
          <w:lang w:eastAsia="ar-SA"/>
        </w:rPr>
        <w:t>«Туризм»</w:t>
      </w:r>
    </w:p>
    <w:p w:rsidR="0091433E" w:rsidRPr="00A61E36" w:rsidRDefault="0091433E" w:rsidP="00EA0A66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062BD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062BD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062BDD">
            <w:pPr>
              <w:jc w:val="center"/>
            </w:pPr>
            <w:r w:rsidRPr="00C64174">
              <w:t>(справочно)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062BDD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туристской отрасли в Цимлянском районе»</w:t>
            </w:r>
          </w:p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территорию </w:t>
            </w:r>
            <w:r w:rsidR="00062BDD">
              <w:rPr>
                <w:kern w:val="2"/>
                <w:sz w:val="28"/>
                <w:szCs w:val="28"/>
              </w:rPr>
              <w:lastRenderedPageBreak/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062BD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062B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r w:rsidR="00062BDD">
              <w:rPr>
                <w:sz w:val="28"/>
              </w:rPr>
              <w:t>Калининском</w:t>
            </w:r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Повышение конкурентоспособности туристического продукта поселения посредством посредствам развития выездного и внутреннего туризма, формирование привлекательного образа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Привлекательный образ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4"/>
              </w:rPr>
              <w:t xml:space="preserve">Создание благоприятных экономических </w:t>
            </w:r>
            <w:r w:rsidRPr="009E257C">
              <w:rPr>
                <w:kern w:val="2"/>
                <w:sz w:val="28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</w:t>
            </w:r>
            <w:r w:rsidRPr="009E257C">
              <w:rPr>
                <w:sz w:val="28"/>
                <w:szCs w:val="28"/>
              </w:rPr>
              <w:lastRenderedPageBreak/>
              <w:t>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lastRenderedPageBreak/>
              <w:t xml:space="preserve">Рост туристических потоков внутреннего и </w:t>
            </w:r>
            <w:r w:rsidRPr="009E257C">
              <w:rPr>
                <w:kern w:val="2"/>
                <w:sz w:val="28"/>
                <w:szCs w:val="28"/>
              </w:rPr>
              <w:lastRenderedPageBreak/>
              <w:t>въездного туризма на территорию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</w:tbl>
    <w:p w:rsidR="005441EE" w:rsidRPr="005441EE" w:rsidRDefault="005441EE" w:rsidP="005441EE">
      <w:pPr>
        <w:widowControl w:val="0"/>
        <w:tabs>
          <w:tab w:val="left" w:pos="709"/>
        </w:tabs>
        <w:jc w:val="center"/>
        <w:outlineLvl w:val="0"/>
        <w:rPr>
          <w:color w:val="000000"/>
          <w:sz w:val="28"/>
        </w:rPr>
      </w:pPr>
      <w:r w:rsidRPr="005441EE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5441EE" w:rsidRPr="005441EE" w:rsidRDefault="005441EE" w:rsidP="005441EE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2693"/>
        <w:gridCol w:w="1418"/>
        <w:gridCol w:w="1275"/>
        <w:gridCol w:w="1134"/>
        <w:gridCol w:w="1560"/>
      </w:tblGrid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№ </w:t>
            </w:r>
            <w:proofErr w:type="gramStart"/>
            <w:r w:rsidRPr="005441EE">
              <w:rPr>
                <w:color w:val="000000"/>
                <w:sz w:val="28"/>
              </w:rPr>
              <w:t>п</w:t>
            </w:r>
            <w:proofErr w:type="gramEnd"/>
            <w:r w:rsidRPr="005441EE">
              <w:rPr>
                <w:color w:val="000000"/>
                <w:sz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Наименование комплекса процессных мероприятий,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Код </w:t>
            </w:r>
            <w:proofErr w:type="gramStart"/>
            <w:r w:rsidRPr="005441EE">
              <w:rPr>
                <w:color w:val="000000"/>
                <w:sz w:val="28"/>
              </w:rPr>
              <w:t>бюджетной</w:t>
            </w:r>
            <w:proofErr w:type="gramEnd"/>
            <w:r w:rsidRPr="005441EE">
              <w:rPr>
                <w:color w:val="000000"/>
                <w:sz w:val="28"/>
              </w:rPr>
              <w:t xml:space="preserve"> </w:t>
            </w:r>
          </w:p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классификации расходов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Объем расходов по годам реализации, тыс. рублей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Всего</w:t>
            </w:r>
          </w:p>
        </w:tc>
      </w:tr>
    </w:tbl>
    <w:p w:rsidR="005441EE" w:rsidRPr="005441EE" w:rsidRDefault="005441EE" w:rsidP="005441EE">
      <w:pPr>
        <w:rPr>
          <w:color w:val="000000"/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3402"/>
        <w:gridCol w:w="1418"/>
        <w:gridCol w:w="1275"/>
        <w:gridCol w:w="1134"/>
        <w:gridCol w:w="1560"/>
      </w:tblGrid>
      <w:tr w:rsidR="005441EE" w:rsidRPr="005441EE" w:rsidTr="003F3BB9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7</w:t>
            </w: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 xml:space="preserve">Мероприятие (результат) 1.1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4"/>
                <w:szCs w:val="24"/>
              </w:rPr>
              <w:t>Калининского</w:t>
            </w:r>
            <w:r w:rsidRPr="005441EE">
              <w:rPr>
                <w:color w:val="000000"/>
                <w:sz w:val="24"/>
                <w:szCs w:val="24"/>
              </w:rPr>
              <w:t xml:space="preserve"> сельского поселения на туристском рынке» (всего), </w:t>
            </w:r>
          </w:p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  <w:r w:rsidRPr="005441EE">
        <w:rPr>
          <w:color w:val="000000"/>
          <w:sz w:val="28"/>
          <w:szCs w:val="28"/>
        </w:rPr>
        <w:t>5. План реализации комплекса процессных мероприятий на 2025-2027 годы</w:t>
      </w:r>
    </w:p>
    <w:p w:rsidR="005441EE" w:rsidRPr="005441EE" w:rsidRDefault="005441EE" w:rsidP="005441EE">
      <w:pPr>
        <w:widowControl w:val="0"/>
        <w:spacing w:line="228" w:lineRule="auto"/>
        <w:jc w:val="center"/>
        <w:outlineLvl w:val="2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№ </w:t>
            </w:r>
            <w:r w:rsidRPr="005441EE">
              <w:rPr>
                <w:color w:val="000000"/>
                <w:sz w:val="28"/>
                <w:szCs w:val="28"/>
              </w:rPr>
              <w:br/>
            </w:r>
            <w:proofErr w:type="gramStart"/>
            <w:r w:rsidRPr="005441E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441E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Дата наступления контрольн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>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Ответственный исполнитель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Вид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(источник 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данных) </w:t>
            </w:r>
          </w:p>
        </w:tc>
      </w:tr>
    </w:tbl>
    <w:p w:rsidR="005441EE" w:rsidRPr="005441EE" w:rsidRDefault="005441EE" w:rsidP="005441EE">
      <w:pPr>
        <w:spacing w:line="228" w:lineRule="auto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441EE" w:rsidRPr="005441EE" w:rsidTr="003F3BB9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Мероприятие (результат) 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Контрольная точка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2025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2026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91433E" w:rsidRDefault="0091433E" w:rsidP="00863432">
      <w:pPr>
        <w:widowControl w:val="0"/>
        <w:outlineLvl w:val="2"/>
      </w:pPr>
    </w:p>
    <w:sectPr w:rsidR="0091433E" w:rsidSect="00134340">
      <w:headerReference w:type="default" r:id="rId17"/>
      <w:footerReference w:type="default" r:id="rId18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7F" w:rsidRDefault="000D4E7F">
      <w:r>
        <w:separator/>
      </w:r>
    </w:p>
  </w:endnote>
  <w:endnote w:type="continuationSeparator" w:id="0">
    <w:p w:rsidR="000D4E7F" w:rsidRDefault="000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Default="003F3B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3BB9" w:rsidRDefault="003F3B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Default="003F3B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4438">
      <w:rPr>
        <w:rStyle w:val="a8"/>
        <w:noProof/>
      </w:rPr>
      <w:t>4</w:t>
    </w:r>
    <w:r>
      <w:rPr>
        <w:rStyle w:val="a8"/>
      </w:rPr>
      <w:fldChar w:fldCharType="end"/>
    </w:r>
  </w:p>
  <w:p w:rsidR="003F3BB9" w:rsidRDefault="003F3BB9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7F" w:rsidRDefault="000D4E7F">
      <w:r>
        <w:separator/>
      </w:r>
    </w:p>
  </w:footnote>
  <w:footnote w:type="continuationSeparator" w:id="0">
    <w:p w:rsidR="000D4E7F" w:rsidRDefault="000D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  <w:p w:rsidR="003F3BB9" w:rsidRPr="00407AAE" w:rsidRDefault="003F3BB9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364438">
      <w:rPr>
        <w:noProof/>
      </w:rPr>
      <w:t>5</w:t>
    </w:r>
    <w:r w:rsidRPr="00407AAE">
      <w:fldChar w:fldCharType="end"/>
    </w:r>
  </w:p>
  <w:p w:rsidR="003F3BB9" w:rsidRPr="00407AAE" w:rsidRDefault="003F3BB9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  <w:p w:rsidR="003F3BB9" w:rsidRPr="00407AAE" w:rsidRDefault="003F3BB9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B9" w:rsidRPr="00407AAE" w:rsidRDefault="003F3BB9" w:rsidP="00407AAE"/>
  <w:p w:rsidR="003F3BB9" w:rsidRPr="00407AAE" w:rsidRDefault="003F3BB9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2BDD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D4E7F"/>
    <w:rsid w:val="000E2430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6CB"/>
    <w:rsid w:val="001D0A62"/>
    <w:rsid w:val="001D2072"/>
    <w:rsid w:val="001D22BC"/>
    <w:rsid w:val="001D711B"/>
    <w:rsid w:val="001D7CD9"/>
    <w:rsid w:val="001E40E0"/>
    <w:rsid w:val="001F4099"/>
    <w:rsid w:val="001F481A"/>
    <w:rsid w:val="001F6AAF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01AE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64438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3BB9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1EE"/>
    <w:rsid w:val="00544A90"/>
    <w:rsid w:val="00551F15"/>
    <w:rsid w:val="00567159"/>
    <w:rsid w:val="005727E3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575A"/>
    <w:rsid w:val="0064646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B97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3432"/>
    <w:rsid w:val="008640CB"/>
    <w:rsid w:val="008800DF"/>
    <w:rsid w:val="008907BF"/>
    <w:rsid w:val="00896A7C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0487F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8788B"/>
    <w:rsid w:val="00A878E1"/>
    <w:rsid w:val="00A90454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0668"/>
    <w:rsid w:val="00B71174"/>
    <w:rsid w:val="00B75E90"/>
    <w:rsid w:val="00B835A5"/>
    <w:rsid w:val="00B8551F"/>
    <w:rsid w:val="00B86A2A"/>
    <w:rsid w:val="00B91A54"/>
    <w:rsid w:val="00BA32DD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0A66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F04404"/>
    <w:rsid w:val="00F0470F"/>
    <w:rsid w:val="00F04C55"/>
    <w:rsid w:val="00F1508E"/>
    <w:rsid w:val="00F22268"/>
    <w:rsid w:val="00F3271A"/>
    <w:rsid w:val="00F336F7"/>
    <w:rsid w:val="00F37518"/>
    <w:rsid w:val="00F42EE0"/>
    <w:rsid w:val="00F42F1B"/>
    <w:rsid w:val="00F45A13"/>
    <w:rsid w:val="00F47ED6"/>
    <w:rsid w:val="00F7054D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678</TotalTime>
  <Pages>21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User-1</cp:lastModifiedBy>
  <cp:revision>34</cp:revision>
  <cp:lastPrinted>2022-02-04T08:10:00Z</cp:lastPrinted>
  <dcterms:created xsi:type="dcterms:W3CDTF">2024-10-14T08:34:00Z</dcterms:created>
  <dcterms:modified xsi:type="dcterms:W3CDTF">2024-12-04T07:23:00Z</dcterms:modified>
</cp:coreProperties>
</file>